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230F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7D44CC17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53567FCC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38718F40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p w14:paraId="4AEDBECC" w14:textId="70868EF0" w:rsidR="005C45E3" w:rsidRDefault="005C45E3" w:rsidP="005C45E3">
      <w:pPr>
        <w:jc w:val="right"/>
        <w:rPr>
          <w:sz w:val="28"/>
          <w:szCs w:val="28"/>
        </w:rPr>
      </w:pPr>
    </w:p>
    <w:p w14:paraId="7526775C" w14:textId="5FBDED18" w:rsidR="00DC28DD" w:rsidRDefault="00DC28DD" w:rsidP="005C45E3">
      <w:pPr>
        <w:jc w:val="right"/>
        <w:rPr>
          <w:sz w:val="28"/>
          <w:szCs w:val="28"/>
        </w:rPr>
      </w:pPr>
    </w:p>
    <w:p w14:paraId="143DA87C" w14:textId="1C754CB4" w:rsidR="00DC28DD" w:rsidRDefault="00DC28DD" w:rsidP="005C45E3">
      <w:pPr>
        <w:jc w:val="right"/>
        <w:rPr>
          <w:sz w:val="28"/>
          <w:szCs w:val="28"/>
        </w:rPr>
      </w:pPr>
    </w:p>
    <w:p w14:paraId="5B0C5CF2" w14:textId="04569BAA" w:rsidR="00DC28DD" w:rsidRDefault="00DC28DD" w:rsidP="005C45E3">
      <w:pPr>
        <w:jc w:val="right"/>
        <w:rPr>
          <w:sz w:val="28"/>
          <w:szCs w:val="28"/>
        </w:rPr>
      </w:pPr>
    </w:p>
    <w:p w14:paraId="099E83E1" w14:textId="21360E48" w:rsidR="00DC28DD" w:rsidRDefault="00DC28DD" w:rsidP="005C45E3">
      <w:pPr>
        <w:jc w:val="right"/>
        <w:rPr>
          <w:sz w:val="28"/>
          <w:szCs w:val="28"/>
        </w:rPr>
      </w:pPr>
    </w:p>
    <w:p w14:paraId="31CE94D5" w14:textId="5D307D74" w:rsidR="00DC28DD" w:rsidRDefault="00DC28DD" w:rsidP="005C45E3">
      <w:pPr>
        <w:jc w:val="right"/>
        <w:rPr>
          <w:sz w:val="28"/>
          <w:szCs w:val="28"/>
        </w:rPr>
      </w:pPr>
    </w:p>
    <w:p w14:paraId="2849AF52" w14:textId="2DD7B103" w:rsidR="00DC28DD" w:rsidRDefault="00DC28DD" w:rsidP="005C45E3">
      <w:pPr>
        <w:jc w:val="right"/>
        <w:rPr>
          <w:sz w:val="28"/>
          <w:szCs w:val="28"/>
        </w:rPr>
      </w:pPr>
    </w:p>
    <w:p w14:paraId="46AE79DC" w14:textId="2E85C87C" w:rsidR="00DC28DD" w:rsidRDefault="00DC28DD" w:rsidP="005C45E3">
      <w:pPr>
        <w:jc w:val="right"/>
        <w:rPr>
          <w:sz w:val="28"/>
          <w:szCs w:val="28"/>
        </w:rPr>
      </w:pPr>
    </w:p>
    <w:p w14:paraId="5D691589" w14:textId="77777777" w:rsidR="00DC28DD" w:rsidRPr="00740314" w:rsidRDefault="00DC28DD" w:rsidP="005C45E3">
      <w:pPr>
        <w:jc w:val="right"/>
        <w:rPr>
          <w:sz w:val="28"/>
          <w:szCs w:val="28"/>
        </w:rPr>
      </w:pPr>
      <w:bookmarkStart w:id="0" w:name="_GoBack"/>
      <w:bookmarkEnd w:id="0"/>
    </w:p>
    <w:p w14:paraId="1DBD6F8E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076D4D17" w14:textId="77777777" w:rsidR="005C45E3" w:rsidRPr="001257B0" w:rsidRDefault="005C45E3" w:rsidP="005C45E3">
      <w:pPr>
        <w:jc w:val="center"/>
        <w:rPr>
          <w:b/>
          <w:sz w:val="28"/>
          <w:szCs w:val="28"/>
        </w:rPr>
      </w:pPr>
    </w:p>
    <w:p w14:paraId="07332F2B" w14:textId="77777777" w:rsidR="005C45E3" w:rsidRPr="001257B0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1257B0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51A546DB" w14:textId="77777777" w:rsidR="005C45E3" w:rsidRPr="001257B0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257B0">
        <w:rPr>
          <w:b/>
          <w:sz w:val="28"/>
          <w:szCs w:val="28"/>
        </w:rPr>
        <w:t>«Правовое регулирование в области культуры»</w:t>
      </w:r>
    </w:p>
    <w:p w14:paraId="4C9C2F47" w14:textId="77777777" w:rsidR="001257B0" w:rsidRPr="001257B0" w:rsidRDefault="001257B0" w:rsidP="001257B0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257B0">
        <w:rPr>
          <w:sz w:val="28"/>
          <w:szCs w:val="28"/>
        </w:rPr>
        <w:t>По специальности</w:t>
      </w:r>
    </w:p>
    <w:p w14:paraId="1ECE89F7" w14:textId="77777777" w:rsidR="001257B0" w:rsidRPr="001257B0" w:rsidRDefault="001257B0" w:rsidP="001257B0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257B0">
        <w:rPr>
          <w:b/>
          <w:sz w:val="28"/>
          <w:szCs w:val="28"/>
        </w:rPr>
        <w:t>53.05.05 Музыковедение</w:t>
      </w:r>
    </w:p>
    <w:p w14:paraId="748F9408" w14:textId="77777777" w:rsidR="001257B0" w:rsidRPr="001257B0" w:rsidRDefault="001257B0" w:rsidP="001257B0">
      <w:pPr>
        <w:widowControl w:val="0"/>
        <w:spacing w:line="360" w:lineRule="auto"/>
        <w:jc w:val="center"/>
        <w:rPr>
          <w:sz w:val="28"/>
          <w:szCs w:val="28"/>
        </w:rPr>
      </w:pPr>
      <w:r w:rsidRPr="001257B0">
        <w:rPr>
          <w:sz w:val="28"/>
          <w:szCs w:val="28"/>
        </w:rPr>
        <w:t>(уровень специалитета)</w:t>
      </w:r>
    </w:p>
    <w:p w14:paraId="432EE5CD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7932BCB7" w14:textId="77777777" w:rsidR="001257B0" w:rsidRDefault="001257B0" w:rsidP="0096410C">
      <w:pPr>
        <w:spacing w:line="360" w:lineRule="auto"/>
        <w:jc w:val="center"/>
        <w:rPr>
          <w:sz w:val="28"/>
          <w:szCs w:val="28"/>
        </w:rPr>
      </w:pPr>
    </w:p>
    <w:p w14:paraId="2A7EB11E" w14:textId="77777777" w:rsidR="001257B0" w:rsidRDefault="001257B0" w:rsidP="0096410C">
      <w:pPr>
        <w:spacing w:line="360" w:lineRule="auto"/>
        <w:jc w:val="center"/>
        <w:rPr>
          <w:sz w:val="28"/>
          <w:szCs w:val="28"/>
        </w:rPr>
      </w:pPr>
    </w:p>
    <w:p w14:paraId="595D9075" w14:textId="77777777" w:rsidR="001257B0" w:rsidRPr="001257B0" w:rsidRDefault="001257B0" w:rsidP="0096410C">
      <w:pPr>
        <w:spacing w:line="360" w:lineRule="auto"/>
        <w:jc w:val="center"/>
        <w:rPr>
          <w:sz w:val="28"/>
          <w:szCs w:val="28"/>
        </w:rPr>
      </w:pPr>
    </w:p>
    <w:p w14:paraId="757BBA0F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269DBE52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0C9B26C9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372B9C13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1F0F6171" w14:textId="77777777" w:rsidR="005B0B8C" w:rsidRDefault="005B0B8C" w:rsidP="0096410C">
      <w:pPr>
        <w:spacing w:line="360" w:lineRule="auto"/>
        <w:jc w:val="center"/>
        <w:rPr>
          <w:sz w:val="28"/>
          <w:szCs w:val="28"/>
        </w:rPr>
      </w:pPr>
    </w:p>
    <w:p w14:paraId="2C19EC0B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0F5CA730" w14:textId="77777777" w:rsidR="00DC28DD" w:rsidRDefault="00DC28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D3CC9C" w14:textId="66B6D6D5"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39AF9B89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205D631A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4DC3FAA3" w14:textId="77777777" w:rsidTr="00DA3750">
        <w:tc>
          <w:tcPr>
            <w:tcW w:w="782" w:type="dxa"/>
            <w:hideMark/>
          </w:tcPr>
          <w:p w14:paraId="20EEAE5D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7FA3E638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3C5A9846" w14:textId="77777777" w:rsidTr="00DA3750">
        <w:tc>
          <w:tcPr>
            <w:tcW w:w="782" w:type="dxa"/>
            <w:hideMark/>
          </w:tcPr>
          <w:p w14:paraId="727328A3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46EAE4DC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47836BFC" w14:textId="77777777" w:rsidTr="00DA3750">
        <w:tc>
          <w:tcPr>
            <w:tcW w:w="782" w:type="dxa"/>
            <w:hideMark/>
          </w:tcPr>
          <w:p w14:paraId="7A9092C9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175C35AA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325FDCB1" w14:textId="77777777" w:rsidTr="00DA3750">
        <w:tc>
          <w:tcPr>
            <w:tcW w:w="782" w:type="dxa"/>
            <w:hideMark/>
          </w:tcPr>
          <w:p w14:paraId="17D2895A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02EBFD44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1D697FC5" w14:textId="77777777" w:rsidTr="00DA3750">
        <w:tc>
          <w:tcPr>
            <w:tcW w:w="782" w:type="dxa"/>
          </w:tcPr>
          <w:p w14:paraId="22A2349E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43C9525D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277317FE" w14:textId="77777777" w:rsidTr="00DA3750">
        <w:tc>
          <w:tcPr>
            <w:tcW w:w="782" w:type="dxa"/>
            <w:hideMark/>
          </w:tcPr>
          <w:p w14:paraId="73577511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7D32F878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0AFFF3D5" w14:textId="77777777" w:rsidTr="00DA3750">
        <w:trPr>
          <w:cantSplit/>
        </w:trPr>
        <w:tc>
          <w:tcPr>
            <w:tcW w:w="782" w:type="dxa"/>
            <w:hideMark/>
          </w:tcPr>
          <w:p w14:paraId="056C439E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256ABDCC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1839F91D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031692FF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141202BA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11FF54FE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0B6C6054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57B83800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51494EC3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045F64DD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5AAD137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3CD11B1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3D083CA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000BDEF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627451D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2375595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67F2103C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4C65CAA1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781B4D7D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bookmarkEnd w:id="1"/>
    <w:p w14:paraId="4A78ADCB" w14:textId="77777777" w:rsidR="005B0B8C" w:rsidRPr="00C6340F" w:rsidRDefault="005B0B8C" w:rsidP="005B0B8C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12B0287B" w14:textId="77777777" w:rsidR="005B0B8C" w:rsidRDefault="005B0B8C" w:rsidP="005B0B8C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1605D0">
        <w:rPr>
          <w:rFonts w:eastAsiaTheme="minorEastAsia"/>
          <w:sz w:val="28"/>
          <w:szCs w:val="28"/>
        </w:rPr>
        <w:lastRenderedPageBreak/>
        <w:t xml:space="preserve">- </w:t>
      </w:r>
      <w:r w:rsidR="001257B0" w:rsidRPr="001257B0">
        <w:rPr>
          <w:rFonts w:eastAsiaTheme="minorEastAsia"/>
          <w:sz w:val="28"/>
          <w:szCs w:val="28"/>
        </w:rPr>
        <w:t xml:space="preserve"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</w:t>
      </w:r>
      <w:r w:rsidRPr="004D55E1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ОК-2);</w:t>
      </w:r>
    </w:p>
    <w:p w14:paraId="0B0DA119" w14:textId="77777777" w:rsidR="005B0B8C" w:rsidRPr="004D55E1" w:rsidRDefault="005B0B8C" w:rsidP="005B0B8C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1257B0" w:rsidRPr="001257B0">
        <w:rPr>
          <w:rFonts w:eastAsiaTheme="minorEastAsia"/>
          <w:sz w:val="28"/>
          <w:szCs w:val="28"/>
        </w:rPr>
        <w:t xml:space="preserve"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</w:t>
      </w:r>
      <w:r w:rsidRPr="001257B0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ОК-3).</w:t>
      </w:r>
    </w:p>
    <w:p w14:paraId="24E9E837" w14:textId="77777777"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3C7E5F4C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571AADDD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358CED86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7A80F947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40E8238F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24A90E13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048DC2AD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4D721D2C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2DD5EEE9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033B36E4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11B57EEE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7AD3297B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11EB4D4C" w14:textId="77777777" w:rsidR="00CA6674" w:rsidRDefault="00CA6674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0B010899" w14:textId="77777777" w:rsidR="00CA6674" w:rsidRDefault="00CA6674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41B37A99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1D730F1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>а на 1 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621667C0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7CA4AE79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29C3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DEBB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6B526AF2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53DDBCE6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46AA0E9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5FE0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016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648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151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EFBC94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4911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C9F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232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9D3C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4143B58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C73D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361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F74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A16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81A83D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E6B6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AD9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025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F1C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CF6633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7E17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E79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436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645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8C9B9E8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9690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CF8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573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C04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BFCF05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DE4E0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25F4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E3B61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B32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9E42BD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793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0CE6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E7D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D53C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064D4B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F7E7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2B1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DB5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705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70C176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1472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3A7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09D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7D6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039536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F10E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A51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389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20BA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E85EEB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ED29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2E1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F26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3EE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953D16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0725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E02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C7A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6EE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356A32D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9125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16C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9E1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E0D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2FEDF9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AD9E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15. Правовое регулирование перемещения культурных ценностей через границу по </w:t>
            </w:r>
            <w:r w:rsidRPr="0096410C">
              <w:rPr>
                <w:sz w:val="28"/>
                <w:szCs w:val="28"/>
              </w:rPr>
              <w:lastRenderedPageBreak/>
              <w:t>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7700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5A8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6CB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9B82A22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EE5B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FEB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5EC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6C3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72C6B2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12C6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072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5391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CE1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DA3841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B22C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0C0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BA9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E59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350F27D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21785A0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21222F69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37818E76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00430B01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2709D971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3FE780BF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2F42E632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3485D898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0DD2FD30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7247D63A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48F26D53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1758E58B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486AB78C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41105C96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2BBCC175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03566C9D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259184F9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Отрасли права.  Внутригосударственное и международное право.  Частное и публичное право.</w:t>
      </w:r>
    </w:p>
    <w:p w14:paraId="5AA7184D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575C25A0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051C5B4C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2BE722DD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5D315139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4805E8D9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25C2B150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391913CB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12192266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694959C0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3E050B84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6297AEF4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</w:t>
      </w:r>
      <w:r>
        <w:rPr>
          <w:sz w:val="28"/>
          <w:szCs w:val="28"/>
        </w:rPr>
        <w:lastRenderedPageBreak/>
        <w:t>федеральные органы государственной власти и органы государственной власти субъектов РФ (на примере Астраханской области)).</w:t>
      </w:r>
    </w:p>
    <w:p w14:paraId="701FA4F9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0908D89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6A2E0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0B7501EA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22D71E0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31A829A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1B535C4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680759B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7D08D5F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5704FF1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основном критерии отнесения культурных ценностей к охраняемым категориям. </w:t>
      </w:r>
    </w:p>
    <w:p w14:paraId="75BB863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361A1E1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230228D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24E65019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329B9032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14F7A21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7B11EA4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7954854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3A8A8BC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20282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1CB247FA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E7FFE9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0F56A64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0A348C2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1CF0FEF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64724B4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lastRenderedPageBreak/>
        <w:tab/>
      </w:r>
    </w:p>
    <w:p w14:paraId="0FBEE52C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296A7E8F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58608EA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3210F876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50189FA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5BB1D33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5001918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6738644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796C8E4C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549BFFE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FB447C1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4231C25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09F8FD3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3017D62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1D7EF9C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2B40DA7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720A40F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0E6B9BAD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51400234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1FA1743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0FF4F87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43EDB35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Виды лицензионных договоров.</w:t>
      </w:r>
    </w:p>
    <w:p w14:paraId="1105177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0B61554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3010FE47" w14:textId="77777777" w:rsidR="005C45E3" w:rsidRDefault="005C45E3" w:rsidP="005C45E3">
      <w:pPr>
        <w:rPr>
          <w:b/>
        </w:rPr>
      </w:pPr>
    </w:p>
    <w:p w14:paraId="16F7A4D7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357B84A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E9DC001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64DBDA6D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14:paraId="61576F4C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72559F6E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59D2439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7277987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71204E2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7F62975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0453C8F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1D5214D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70F60C70" w14:textId="77777777" w:rsidR="005C45E3" w:rsidRDefault="005C45E3" w:rsidP="005C45E3">
      <w:pPr>
        <w:rPr>
          <w:sz w:val="28"/>
          <w:szCs w:val="28"/>
        </w:rPr>
      </w:pPr>
    </w:p>
    <w:p w14:paraId="2A481575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2A6BEB38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92B824A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Личные неимущественные и имущественные права авторов произведений науки, литературы и искусства.</w:t>
      </w:r>
    </w:p>
    <w:p w14:paraId="6531F42C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14:paraId="48712B07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14:paraId="388C8CBA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02FF859B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1FB52A1B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041D1A64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6B8A2ADE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2E9B7DDC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E383A7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6E279D0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00BFFF6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60B678A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53403F4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62C8F942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530F5116" w14:textId="77777777" w:rsidR="005C45E3" w:rsidRDefault="005C45E3" w:rsidP="005C45E3">
      <w:pPr>
        <w:jc w:val="both"/>
      </w:pPr>
    </w:p>
    <w:p w14:paraId="0DA6995A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4B55DBCD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37DE139A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5DA2C366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482F12B2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50ED0D0E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311ABC7C" w14:textId="77777777" w:rsidR="005C45E3" w:rsidRDefault="005C45E3" w:rsidP="005C45E3">
      <w:pPr>
        <w:rPr>
          <w:b/>
        </w:rPr>
      </w:pPr>
    </w:p>
    <w:p w14:paraId="69BDB830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2E4FECCB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B3BFC0A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5740F2BC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71ACEDBC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12294487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5436B301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517DFD8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6974583E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2F6A3CCF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9AB9576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6691958C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7A231936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2F8B286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899AD9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Тема 16. Законодательство РФ о правах на результаты творческой деятельности в сфере культуры </w:t>
      </w:r>
    </w:p>
    <w:p w14:paraId="0AA56036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0568AFBE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1C2AC160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2F493FF1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2826BFA4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7192CE2B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27FC2E6D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14:paraId="108DC72B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2A1E7F9C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6F1245F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2B13A4D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BA8CE1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05F6077E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A8A31C8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32A4AAA9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7233E989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4C932C4C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45173F71" w14:textId="77777777" w:rsidR="005B0B8C" w:rsidRDefault="005C45E3" w:rsidP="005B0B8C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Порядок привлечения к ответственности за правонарушения в области культуры.</w:t>
      </w:r>
    </w:p>
    <w:p w14:paraId="27E9B81B" w14:textId="77777777" w:rsidR="005C45E3" w:rsidRDefault="00856F9B" w:rsidP="005B0B8C">
      <w:pPr>
        <w:tabs>
          <w:tab w:val="left" w:pos="17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C45E3">
        <w:rPr>
          <w:b/>
          <w:sz w:val="28"/>
          <w:szCs w:val="28"/>
        </w:rPr>
        <w:t>.Организация контроля знаний</w:t>
      </w:r>
    </w:p>
    <w:p w14:paraId="4C48A66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1A25431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228AC81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412B80FC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3D0020D5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48F86AB0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7D21BD92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12728FDD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5005D4A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0ABBA319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5B6CB1CC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73EDD664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0646C121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636BB9C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36C2AFE8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65E31BFD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54B5A867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580A5C0C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207A1007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05C5A3F4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0A2F7F17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5B2B58B7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28F749A3" w14:textId="77777777" w:rsidR="005B0B8C" w:rsidRDefault="005B0B8C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31D0ADEF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2DAD7AC0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734AD1D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1860365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3E1255F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6077D551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703F6B4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4C0451D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5CC5BD3D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28F9B636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0ED0026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>. №1204 «Об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5CF9A3AD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700917C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27E16D9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0E369E2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605E765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22EED39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3F37A4C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54B9B2E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7311E3E5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1060B211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689C02FA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442B11A1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43501B0A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732A2865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335C9BC2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02D03F11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lastRenderedPageBreak/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0A101DA3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274D9B0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7406D5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DAE7F9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A61F78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B620C4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B7DBA8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16A033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B095E7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179079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B2607D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D06F1D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E7768F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602B29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08ACD3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7EF4F7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2C90AB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5AD9B3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029AEA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A1D422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F7FF968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B8FF4C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CAF5D9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EA5A90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452E04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A725F4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0BEFBA5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lastRenderedPageBreak/>
        <w:t>Приложение</w:t>
      </w:r>
    </w:p>
    <w:p w14:paraId="39C8A748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61C653CA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10896180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016E1B4F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781A54D3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25352C86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03F9D817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22E3A1CE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11C31F33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0590A652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19495382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2D157327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2AEF593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3B3F4A3C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060FA7CF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21A552AB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5E6132E0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51E9A386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0B3337F4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46F6512D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6. Авторские договоры</w:t>
      </w:r>
    </w:p>
    <w:p w14:paraId="7294F466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5770F114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22DD6834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22F367D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6EE43C02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44DF17CE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3DA11613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67D8A161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7CB3F534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1ED2CC78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17FAE5BF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0F4C952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08038916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0AAECB24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20. Порядок привлечения к ответственности за правонарушения в области культуры.</w:t>
      </w:r>
    </w:p>
    <w:p w14:paraId="6EB3D5C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1C375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4984B42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02FF9C4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231A0E8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9AD261F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429C3726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7DFC7602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59481653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3D8D41B3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6F1E37CE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754FDA7C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137DC29B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5A9F7C04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336578C6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56D71D2B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1586E14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727D0E6C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429F36D3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71072493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3A131922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09B7FF6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72CDC1EB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5A955AB7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2EC6128C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7FC24631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5B0BD4FD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3C25D4">
        <w:rPr>
          <w:sz w:val="28"/>
          <w:szCs w:val="28"/>
        </w:rPr>
        <w:t>. Лицензионный договор</w:t>
      </w:r>
    </w:p>
    <w:p w14:paraId="6FF6CC3E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6A065AA9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10D0F437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>получения допуска к зачету необходимо написать и защитить реферат, выполнить все 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3B35AE42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156AF05F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4294308C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4A174200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794BDD5A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6E77C05A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031B23E0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433C007F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6FEBE3D9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4790F943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1FB75BE1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584C86BA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0AD96C0F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521330CC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4543E889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593CB539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0901234D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0BB4016A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13A6FB14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07FAF141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41060CED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202AB06C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20BEEE49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57C83232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363A938A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003AD3C7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6BDB2712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5176DD11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580BC33F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564E1B35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0D76997F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19EB5D6E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756BF297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49467C72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30210957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7E7025F8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2F6D935B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19BAD211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2F199F02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04F5D87C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667ECED5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29D1ADA7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6BFFA533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497184F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230615A7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3B796410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3B007CB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1CBDA6E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32B9337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05F7B7D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0B539C2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2199513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11CE744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385020A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7500DA5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3CC42BB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4CCEFB74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36. Творческий характер произведения, объективная форма произведения.</w:t>
      </w:r>
    </w:p>
    <w:p w14:paraId="3B916C67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54F88E6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5E7BB6D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4B235E5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26E79EA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1EBD4A9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5EE3ADB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5F8B3E8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7BEAE26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7CFDC64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2EAC07F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18BAE39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54BA665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0DF5A1F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2353C36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5F7BCFC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2BDF208C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29F05C2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050AF31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101DA84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5CCD9896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5663A8CE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484FB968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3588AB11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257B0"/>
    <w:rsid w:val="00196D29"/>
    <w:rsid w:val="001C3A47"/>
    <w:rsid w:val="003C25D4"/>
    <w:rsid w:val="005B0B8C"/>
    <w:rsid w:val="005C45E3"/>
    <w:rsid w:val="00633686"/>
    <w:rsid w:val="00672252"/>
    <w:rsid w:val="0076217A"/>
    <w:rsid w:val="00856F9B"/>
    <w:rsid w:val="0096410C"/>
    <w:rsid w:val="009C01C0"/>
    <w:rsid w:val="00A13025"/>
    <w:rsid w:val="00A3476C"/>
    <w:rsid w:val="00BD3E2F"/>
    <w:rsid w:val="00C267DE"/>
    <w:rsid w:val="00CA6674"/>
    <w:rsid w:val="00D70C96"/>
    <w:rsid w:val="00DB554D"/>
    <w:rsid w:val="00DC28D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7073D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5B0B8C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B0B8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29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14</cp:revision>
  <dcterms:created xsi:type="dcterms:W3CDTF">2019-02-10T16:01:00Z</dcterms:created>
  <dcterms:modified xsi:type="dcterms:W3CDTF">2021-12-21T18:47:00Z</dcterms:modified>
</cp:coreProperties>
</file>